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893" w:rsidRDefault="00A5400E" w:rsidP="00551029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A4893">
        <w:rPr>
          <w:rFonts w:ascii="Times New Roman" w:hAnsi="Times New Roman"/>
          <w:b/>
          <w:sz w:val="28"/>
          <w:szCs w:val="28"/>
        </w:rPr>
        <w:t xml:space="preserve">Контрольно-счетная палата Талдомского городского округа Московской области </w:t>
      </w:r>
      <w:r w:rsidR="00DA4893" w:rsidRPr="00DA4893">
        <w:rPr>
          <w:rFonts w:ascii="Times New Roman" w:hAnsi="Times New Roman"/>
          <w:b/>
          <w:sz w:val="28"/>
          <w:szCs w:val="28"/>
        </w:rPr>
        <w:t>подготовила Заключение по результатам анализа исполнения бюджета Талдомского городского округа за 1</w:t>
      </w:r>
      <w:r w:rsidR="004F6E1E">
        <w:rPr>
          <w:rFonts w:ascii="Times New Roman" w:hAnsi="Times New Roman"/>
          <w:b/>
          <w:sz w:val="28"/>
          <w:szCs w:val="28"/>
        </w:rPr>
        <w:t xml:space="preserve"> квартал</w:t>
      </w:r>
      <w:r w:rsidR="00DA4893" w:rsidRPr="00DA4893">
        <w:rPr>
          <w:rFonts w:ascii="Times New Roman" w:hAnsi="Times New Roman"/>
          <w:b/>
          <w:sz w:val="28"/>
          <w:szCs w:val="28"/>
        </w:rPr>
        <w:t xml:space="preserve"> 202</w:t>
      </w:r>
      <w:r w:rsidR="008D4EFE">
        <w:rPr>
          <w:rFonts w:ascii="Times New Roman" w:hAnsi="Times New Roman"/>
          <w:b/>
          <w:sz w:val="28"/>
          <w:szCs w:val="28"/>
        </w:rPr>
        <w:t>3</w:t>
      </w:r>
      <w:r w:rsidR="00DA4893" w:rsidRPr="00DA489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A7239" w:rsidRPr="00551029" w:rsidRDefault="001A7239" w:rsidP="001A723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A7239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699125" cy="298499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518" cy="298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893" w:rsidRDefault="00DA4893" w:rsidP="00DA489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A4893">
        <w:rPr>
          <w:rFonts w:ascii="Times New Roman" w:hAnsi="Times New Roman"/>
          <w:sz w:val="28"/>
          <w:szCs w:val="28"/>
        </w:rPr>
        <w:t>В целях оперативного контроля исполнения бюджета Талдомского городского округа Московской области Контрольно-счетная палата Талдомского городского округа провела мониторинг исполнения бюджета Талдомского городского округа за 1</w:t>
      </w:r>
      <w:r w:rsidR="004F6E1E">
        <w:rPr>
          <w:rFonts w:ascii="Times New Roman" w:hAnsi="Times New Roman"/>
          <w:sz w:val="28"/>
          <w:szCs w:val="28"/>
        </w:rPr>
        <w:t xml:space="preserve"> квартал</w:t>
      </w:r>
      <w:r w:rsidRPr="00DA4893">
        <w:rPr>
          <w:rFonts w:ascii="Times New Roman" w:hAnsi="Times New Roman"/>
          <w:sz w:val="28"/>
          <w:szCs w:val="28"/>
        </w:rPr>
        <w:t xml:space="preserve"> 202</w:t>
      </w:r>
      <w:r w:rsidR="008D4EFE">
        <w:rPr>
          <w:rFonts w:ascii="Times New Roman" w:hAnsi="Times New Roman"/>
          <w:sz w:val="28"/>
          <w:szCs w:val="28"/>
        </w:rPr>
        <w:t>3</w:t>
      </w:r>
      <w:r w:rsidRPr="00DA4893">
        <w:rPr>
          <w:rFonts w:ascii="Times New Roman" w:hAnsi="Times New Roman"/>
          <w:sz w:val="28"/>
          <w:szCs w:val="28"/>
        </w:rPr>
        <w:t xml:space="preserve"> г.  </w:t>
      </w:r>
    </w:p>
    <w:p w:rsidR="004F6E1E" w:rsidRPr="00DA4893" w:rsidRDefault="004F6E1E" w:rsidP="008D4EF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F6E1E">
        <w:rPr>
          <w:rFonts w:ascii="Times New Roman" w:hAnsi="Times New Roman"/>
          <w:sz w:val="28"/>
          <w:szCs w:val="28"/>
        </w:rPr>
        <w:t>Заключение по результатам анализа исполнении бюджета Талдомского городского округа за 1 квартал 202</w:t>
      </w:r>
      <w:r w:rsidR="008D4EFE">
        <w:rPr>
          <w:rFonts w:ascii="Times New Roman" w:hAnsi="Times New Roman"/>
          <w:sz w:val="28"/>
          <w:szCs w:val="28"/>
        </w:rPr>
        <w:t>3</w:t>
      </w:r>
      <w:r w:rsidRPr="004F6E1E">
        <w:rPr>
          <w:rFonts w:ascii="Times New Roman" w:hAnsi="Times New Roman"/>
          <w:sz w:val="28"/>
          <w:szCs w:val="28"/>
        </w:rPr>
        <w:t xml:space="preserve"> года подготовлено Контрольно-счетной палатой Талдомского городского округа Московской области в соответствии с требованиями п.2 ст. 157, 264.2 Бюджетного кодекса Российской Федерации (далее – БК РФ), </w:t>
      </w:r>
      <w:r w:rsidR="008D4EFE" w:rsidRPr="008D4EFE">
        <w:rPr>
          <w:rFonts w:ascii="Times New Roman" w:hAnsi="Times New Roman"/>
          <w:sz w:val="28"/>
          <w:szCs w:val="28"/>
        </w:rPr>
        <w:t>Положением о Контрольно-счетной палате Талдомского городского округа, утвержденным Решением Совета депутатов Талдомского городского округа Московской области от 23.06.2022 №45, Положением о бюджетном процессе в Талдомском городском округе, утвержденным решением Совета депутатов Талдомского городского округа от 27.04.2023 №24</w:t>
      </w:r>
      <w:r w:rsidR="008D4EFE">
        <w:rPr>
          <w:rFonts w:ascii="Times New Roman" w:hAnsi="Times New Roman"/>
          <w:sz w:val="28"/>
          <w:szCs w:val="28"/>
        </w:rPr>
        <w:t xml:space="preserve">, </w:t>
      </w:r>
      <w:r w:rsidRPr="004F6E1E">
        <w:rPr>
          <w:rFonts w:ascii="Times New Roman" w:hAnsi="Times New Roman"/>
          <w:sz w:val="28"/>
          <w:szCs w:val="28"/>
        </w:rPr>
        <w:t>на основании  п.1.1 Плана работы Контрольно-счетной палаты Талдомского городского округа на 202</w:t>
      </w:r>
      <w:r w:rsidR="008D4EFE">
        <w:rPr>
          <w:rFonts w:ascii="Times New Roman" w:hAnsi="Times New Roman"/>
          <w:sz w:val="28"/>
          <w:szCs w:val="28"/>
        </w:rPr>
        <w:t>3</w:t>
      </w:r>
      <w:r w:rsidRPr="004F6E1E">
        <w:rPr>
          <w:rFonts w:ascii="Times New Roman" w:hAnsi="Times New Roman"/>
          <w:sz w:val="28"/>
          <w:szCs w:val="28"/>
        </w:rPr>
        <w:t xml:space="preserve"> год и распоряжения Контрольно-счетной</w:t>
      </w:r>
      <w:r w:rsidRPr="004F6E1E">
        <w:rPr>
          <w:rFonts w:ascii="Times New Roman" w:hAnsi="Times New Roman"/>
          <w:sz w:val="28"/>
          <w:szCs w:val="28"/>
        </w:rPr>
        <w:tab/>
        <w:t xml:space="preserve"> палаты Талдомского городского округа от </w:t>
      </w:r>
      <w:r w:rsidR="008D4EFE" w:rsidRPr="008D4EFE">
        <w:rPr>
          <w:rFonts w:ascii="Times New Roman" w:hAnsi="Times New Roman"/>
          <w:sz w:val="28"/>
          <w:szCs w:val="28"/>
        </w:rPr>
        <w:t>11.05.2023 г. №11</w:t>
      </w:r>
      <w:r w:rsidRPr="004F6E1E">
        <w:rPr>
          <w:rFonts w:ascii="Times New Roman" w:hAnsi="Times New Roman"/>
          <w:sz w:val="28"/>
          <w:szCs w:val="28"/>
        </w:rPr>
        <w:t>.</w:t>
      </w:r>
    </w:p>
    <w:p w:rsidR="00551029" w:rsidRDefault="00551029" w:rsidP="00551029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в</w:t>
      </w:r>
      <w:r w:rsidRPr="00551029">
        <w:rPr>
          <w:rFonts w:ascii="Times New Roman" w:hAnsi="Times New Roman"/>
          <w:sz w:val="28"/>
          <w:szCs w:val="28"/>
        </w:rPr>
        <w:t>ыводы</w:t>
      </w:r>
      <w:r>
        <w:rPr>
          <w:rFonts w:ascii="Times New Roman" w:hAnsi="Times New Roman"/>
          <w:sz w:val="28"/>
          <w:szCs w:val="28"/>
        </w:rPr>
        <w:t xml:space="preserve"> по итогам экспертно-аналитического мероприятия:</w:t>
      </w:r>
    </w:p>
    <w:p w:rsidR="004F6E1E" w:rsidRPr="004F6E1E" w:rsidRDefault="004F6E1E" w:rsidP="004F6E1E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6E1E">
        <w:rPr>
          <w:rFonts w:ascii="Times New Roman" w:hAnsi="Times New Roman"/>
          <w:sz w:val="28"/>
          <w:szCs w:val="28"/>
        </w:rPr>
        <w:t>1.</w:t>
      </w:r>
      <w:r w:rsidRPr="004F6E1E">
        <w:rPr>
          <w:rFonts w:ascii="Times New Roman" w:hAnsi="Times New Roman"/>
          <w:sz w:val="28"/>
          <w:szCs w:val="28"/>
        </w:rPr>
        <w:tab/>
        <w:t>Бюджет Талдомского городского округа за 1 квартал 202</w:t>
      </w:r>
      <w:r w:rsidR="008D4EFE">
        <w:rPr>
          <w:rFonts w:ascii="Times New Roman" w:hAnsi="Times New Roman"/>
          <w:sz w:val="28"/>
          <w:szCs w:val="28"/>
        </w:rPr>
        <w:t>3</w:t>
      </w:r>
      <w:r w:rsidRPr="004F6E1E">
        <w:rPr>
          <w:rFonts w:ascii="Times New Roman" w:hAnsi="Times New Roman"/>
          <w:sz w:val="28"/>
          <w:szCs w:val="28"/>
        </w:rPr>
        <w:t xml:space="preserve"> года исполнен:</w:t>
      </w:r>
    </w:p>
    <w:p w:rsidR="008D4EFE" w:rsidRPr="008D4EFE" w:rsidRDefault="004F6E1E" w:rsidP="008D4EFE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6E1E">
        <w:rPr>
          <w:rFonts w:ascii="Times New Roman" w:hAnsi="Times New Roman"/>
          <w:sz w:val="28"/>
          <w:szCs w:val="28"/>
        </w:rPr>
        <w:t>•</w:t>
      </w:r>
      <w:r w:rsidRPr="004F6E1E">
        <w:rPr>
          <w:rFonts w:ascii="Times New Roman" w:hAnsi="Times New Roman"/>
          <w:sz w:val="28"/>
          <w:szCs w:val="28"/>
        </w:rPr>
        <w:tab/>
      </w:r>
      <w:r w:rsidR="008D4EFE" w:rsidRPr="008D4EFE">
        <w:rPr>
          <w:rFonts w:ascii="Times New Roman" w:hAnsi="Times New Roman"/>
          <w:sz w:val="28"/>
          <w:szCs w:val="28"/>
        </w:rPr>
        <w:t>по доходам в сумме 815463,7682 тыс. рублей или 19,3% от утвержденных годовых назначений;</w:t>
      </w:r>
    </w:p>
    <w:p w:rsidR="008D4EFE" w:rsidRPr="008D4EFE" w:rsidRDefault="008D4EFE" w:rsidP="008D4EFE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4EFE">
        <w:rPr>
          <w:rFonts w:ascii="Times New Roman" w:hAnsi="Times New Roman"/>
          <w:sz w:val="28"/>
          <w:szCs w:val="28"/>
        </w:rPr>
        <w:lastRenderedPageBreak/>
        <w:t>•</w:t>
      </w:r>
      <w:r w:rsidRPr="008D4EFE">
        <w:rPr>
          <w:rFonts w:ascii="Times New Roman" w:hAnsi="Times New Roman"/>
          <w:sz w:val="28"/>
          <w:szCs w:val="28"/>
        </w:rPr>
        <w:tab/>
        <w:t>по расходам – 765467,56678 тыс. рублей или 17,3% от утвержденных годовых назначений;</w:t>
      </w:r>
    </w:p>
    <w:p w:rsidR="008D4EFE" w:rsidRPr="008D4EFE" w:rsidRDefault="008D4EFE" w:rsidP="008D4EFE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4EFE">
        <w:rPr>
          <w:rFonts w:ascii="Times New Roman" w:hAnsi="Times New Roman"/>
          <w:sz w:val="28"/>
          <w:szCs w:val="28"/>
        </w:rPr>
        <w:t>•</w:t>
      </w:r>
      <w:r w:rsidRPr="008D4EFE">
        <w:rPr>
          <w:rFonts w:ascii="Times New Roman" w:hAnsi="Times New Roman"/>
          <w:sz w:val="28"/>
          <w:szCs w:val="28"/>
        </w:rPr>
        <w:tab/>
        <w:t>с профицитом в сумме 49996,20142 тыс. рублей.</w:t>
      </w:r>
    </w:p>
    <w:p w:rsidR="008D4EFE" w:rsidRPr="008D4EFE" w:rsidRDefault="008D4EFE" w:rsidP="008D4EFE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4EFE">
        <w:rPr>
          <w:rFonts w:ascii="Times New Roman" w:hAnsi="Times New Roman"/>
          <w:sz w:val="28"/>
          <w:szCs w:val="28"/>
        </w:rPr>
        <w:t>2.</w:t>
      </w:r>
      <w:r w:rsidRPr="008D4EFE">
        <w:rPr>
          <w:rFonts w:ascii="Times New Roman" w:hAnsi="Times New Roman"/>
          <w:sz w:val="28"/>
          <w:szCs w:val="28"/>
        </w:rPr>
        <w:tab/>
        <w:t>Поступления налоговых доходов в бюджет Талдомского городского округа за 1 квартал 2023 года составили 181560,69765 тыс. рублей или 13,3% от утвержденных годовых назначений.</w:t>
      </w:r>
    </w:p>
    <w:p w:rsidR="008D4EFE" w:rsidRPr="008D4EFE" w:rsidRDefault="008D4EFE" w:rsidP="008D4EFE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4EFE">
        <w:rPr>
          <w:rFonts w:ascii="Times New Roman" w:hAnsi="Times New Roman"/>
          <w:sz w:val="28"/>
          <w:szCs w:val="28"/>
        </w:rPr>
        <w:t>3.</w:t>
      </w:r>
      <w:r w:rsidRPr="008D4EFE">
        <w:rPr>
          <w:rFonts w:ascii="Times New Roman" w:hAnsi="Times New Roman"/>
          <w:sz w:val="28"/>
          <w:szCs w:val="28"/>
        </w:rPr>
        <w:tab/>
        <w:t>Поступления неналоговых доходов в бюджет Талдомского городского округа за 1 квартал 2023 года составили 53549,74347 тыс. рублей или 54,5% от утвержденных годовых назначений.</w:t>
      </w:r>
    </w:p>
    <w:p w:rsidR="008D4EFE" w:rsidRPr="008D4EFE" w:rsidRDefault="008D4EFE" w:rsidP="008D4EFE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4EFE">
        <w:rPr>
          <w:rFonts w:ascii="Times New Roman" w:hAnsi="Times New Roman"/>
          <w:sz w:val="28"/>
          <w:szCs w:val="28"/>
        </w:rPr>
        <w:t>4.</w:t>
      </w:r>
      <w:r w:rsidRPr="008D4EFE">
        <w:rPr>
          <w:rFonts w:ascii="Times New Roman" w:hAnsi="Times New Roman"/>
          <w:sz w:val="28"/>
          <w:szCs w:val="28"/>
        </w:rPr>
        <w:tab/>
        <w:t>Безвозмездные поступления за 1 квартал 2023 года составили 580353,32708 тыс. рублей или 21% от утвержденных годовых назначений.</w:t>
      </w:r>
    </w:p>
    <w:p w:rsidR="008D4EFE" w:rsidRPr="008D4EFE" w:rsidRDefault="008D4EFE" w:rsidP="008D4EFE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4EFE">
        <w:rPr>
          <w:rFonts w:ascii="Times New Roman" w:hAnsi="Times New Roman"/>
          <w:sz w:val="28"/>
          <w:szCs w:val="28"/>
        </w:rPr>
        <w:t>5.</w:t>
      </w:r>
      <w:r w:rsidRPr="008D4EFE">
        <w:rPr>
          <w:rFonts w:ascii="Times New Roman" w:hAnsi="Times New Roman"/>
          <w:sz w:val="28"/>
          <w:szCs w:val="28"/>
        </w:rPr>
        <w:tab/>
        <w:t xml:space="preserve">За 1 квартал 2023 года расходы исполнены в объеме 765467,567 тыс. рублей, что составляет 17,3% от утвержденных назначений на 2023 год. </w:t>
      </w:r>
    </w:p>
    <w:p w:rsidR="008D4EFE" w:rsidRPr="008D4EFE" w:rsidRDefault="008D4EFE" w:rsidP="008D4EFE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4EFE">
        <w:rPr>
          <w:rFonts w:ascii="Times New Roman" w:hAnsi="Times New Roman"/>
          <w:sz w:val="28"/>
          <w:szCs w:val="28"/>
        </w:rPr>
        <w:t>Отмечается низкое выполнение по разделам «Жилищно-коммунальное хозяйство» – 8,3%, «Национальная экономика» – 9,2%.   За 1 квартал 2023 года не произведены расходы по разделу «Обслуживание муниципального долга».</w:t>
      </w:r>
    </w:p>
    <w:p w:rsidR="008D4EFE" w:rsidRPr="008D4EFE" w:rsidRDefault="008D4EFE" w:rsidP="008D4EFE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4EFE">
        <w:rPr>
          <w:rFonts w:ascii="Times New Roman" w:hAnsi="Times New Roman"/>
          <w:sz w:val="28"/>
          <w:szCs w:val="28"/>
        </w:rPr>
        <w:t>6.</w:t>
      </w:r>
      <w:r w:rsidRPr="008D4EFE">
        <w:rPr>
          <w:rFonts w:ascii="Times New Roman" w:hAnsi="Times New Roman"/>
          <w:sz w:val="28"/>
          <w:szCs w:val="28"/>
        </w:rPr>
        <w:tab/>
        <w:t>Исполнение бюджета на реализацию муниципальных программ за 1 квартал 2023 года составило 756065,03926 тыс. рублей или 17,3% от утвержденных программных расходов на 202</w:t>
      </w:r>
      <w:r w:rsidR="00003098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Pr="008D4EFE">
        <w:rPr>
          <w:rFonts w:ascii="Times New Roman" w:hAnsi="Times New Roman"/>
          <w:sz w:val="28"/>
          <w:szCs w:val="28"/>
        </w:rPr>
        <w:t xml:space="preserve"> год.</w:t>
      </w:r>
    </w:p>
    <w:p w:rsidR="00353BD8" w:rsidRDefault="008D4EFE" w:rsidP="008D4EFE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4EFE">
        <w:rPr>
          <w:rFonts w:ascii="Times New Roman" w:hAnsi="Times New Roman"/>
          <w:sz w:val="28"/>
          <w:szCs w:val="28"/>
        </w:rPr>
        <w:t xml:space="preserve"> Отмечается низкое исполнение по муниципальным программам «Архитектура и градостроительство» – 1,29%, «Развитие сельского хозяйства» – 3,21%, «Развитие и функционирование дорожно-транспортного комплекса» - 9,13%, «Социальная защита населения» – 11,95%, «Безопасность и обеспечение безопасности жизнедеятельности населения» – 13,10%. Расходы по муниципальным программам «Развитие инженерной инфраструктуры и энергоэффективности», «Предпринимательство», «Переселение граждан из аварийного жилищного фонда» в 1 квартале 2023 года не произведены.</w:t>
      </w:r>
    </w:p>
    <w:p w:rsidR="004F6E1E" w:rsidRPr="00551029" w:rsidRDefault="004F6E1E" w:rsidP="004F6E1E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6E1E">
        <w:rPr>
          <w:rFonts w:ascii="Times New Roman" w:hAnsi="Times New Roman"/>
          <w:sz w:val="28"/>
          <w:szCs w:val="28"/>
        </w:rPr>
        <w:t>Заключение Контрольно-счетной палаты Талдомского городского округа по результатам анализа исполнения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E1E">
        <w:rPr>
          <w:rFonts w:ascii="Times New Roman" w:hAnsi="Times New Roman"/>
          <w:sz w:val="28"/>
          <w:szCs w:val="28"/>
        </w:rPr>
        <w:t>Талдомского городского округа Московской области за 1 квартал 202</w:t>
      </w:r>
      <w:r w:rsidR="008D4EFE">
        <w:rPr>
          <w:rFonts w:ascii="Times New Roman" w:hAnsi="Times New Roman"/>
          <w:sz w:val="28"/>
          <w:szCs w:val="28"/>
        </w:rPr>
        <w:t>3</w:t>
      </w:r>
      <w:r w:rsidRPr="004F6E1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утверждено председателем Контрольно-счетной палаты Талдомского городского округа</w:t>
      </w:r>
      <w:r w:rsidR="008D4E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направлено в Совет депутатов и администрацию Талдомского городского округа.</w:t>
      </w:r>
    </w:p>
    <w:sectPr w:rsidR="004F6E1E" w:rsidRPr="00551029" w:rsidSect="002F2884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04C" w:rsidRDefault="00F6204C">
      <w:pPr>
        <w:spacing w:after="0" w:line="240" w:lineRule="auto"/>
      </w:pPr>
      <w:r>
        <w:separator/>
      </w:r>
    </w:p>
  </w:endnote>
  <w:endnote w:type="continuationSeparator" w:id="0">
    <w:p w:rsidR="00F6204C" w:rsidRDefault="00F62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3F9" w:rsidRDefault="00F6204C">
    <w:pPr>
      <w:pStyle w:val="a6"/>
      <w:jc w:val="center"/>
    </w:pPr>
  </w:p>
  <w:p w:rsidR="000D63F9" w:rsidRDefault="00F620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04C" w:rsidRDefault="00F6204C">
      <w:pPr>
        <w:spacing w:after="0" w:line="240" w:lineRule="auto"/>
      </w:pPr>
      <w:r>
        <w:separator/>
      </w:r>
    </w:p>
  </w:footnote>
  <w:footnote w:type="continuationSeparator" w:id="0">
    <w:p w:rsidR="00F6204C" w:rsidRDefault="00F62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179" w:rsidRDefault="0006048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41B31" w:rsidRPr="00241B31">
      <w:rPr>
        <w:noProof/>
        <w:lang w:val="ru-RU"/>
      </w:rPr>
      <w:t>2</w:t>
    </w:r>
    <w:r>
      <w:fldChar w:fldCharType="end"/>
    </w:r>
  </w:p>
  <w:p w:rsidR="00DC4179" w:rsidRDefault="00F6204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7EB" w:rsidRDefault="00F6204C">
    <w:pPr>
      <w:pStyle w:val="a4"/>
      <w:jc w:val="center"/>
    </w:pPr>
  </w:p>
  <w:p w:rsidR="000D63F9" w:rsidRDefault="00F620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4E3C"/>
    <w:multiLevelType w:val="hybridMultilevel"/>
    <w:tmpl w:val="7E90D890"/>
    <w:lvl w:ilvl="0" w:tplc="26DADE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B12AB6"/>
    <w:multiLevelType w:val="hybridMultilevel"/>
    <w:tmpl w:val="17187794"/>
    <w:lvl w:ilvl="0" w:tplc="806AD4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799"/>
    <w:rsid w:val="00002E2E"/>
    <w:rsid w:val="00003098"/>
    <w:rsid w:val="0002216F"/>
    <w:rsid w:val="0006048E"/>
    <w:rsid w:val="00086DB6"/>
    <w:rsid w:val="00092EB5"/>
    <w:rsid w:val="000C5E3C"/>
    <w:rsid w:val="00111D46"/>
    <w:rsid w:val="00156F03"/>
    <w:rsid w:val="0017281A"/>
    <w:rsid w:val="0019236E"/>
    <w:rsid w:val="001A7239"/>
    <w:rsid w:val="0024182C"/>
    <w:rsid w:val="00241B31"/>
    <w:rsid w:val="002767E5"/>
    <w:rsid w:val="002E5F83"/>
    <w:rsid w:val="00311864"/>
    <w:rsid w:val="00312601"/>
    <w:rsid w:val="00353BD8"/>
    <w:rsid w:val="0038276F"/>
    <w:rsid w:val="003A518B"/>
    <w:rsid w:val="00447FA7"/>
    <w:rsid w:val="004775CC"/>
    <w:rsid w:val="00491736"/>
    <w:rsid w:val="004B0C5C"/>
    <w:rsid w:val="004B3408"/>
    <w:rsid w:val="004C20F3"/>
    <w:rsid w:val="004F19B0"/>
    <w:rsid w:val="004F6E1E"/>
    <w:rsid w:val="00512BE6"/>
    <w:rsid w:val="00524914"/>
    <w:rsid w:val="00525431"/>
    <w:rsid w:val="00537620"/>
    <w:rsid w:val="00551029"/>
    <w:rsid w:val="00552A25"/>
    <w:rsid w:val="005938D3"/>
    <w:rsid w:val="005A447E"/>
    <w:rsid w:val="005E3C86"/>
    <w:rsid w:val="005F2821"/>
    <w:rsid w:val="006103F7"/>
    <w:rsid w:val="0065324E"/>
    <w:rsid w:val="00667DC0"/>
    <w:rsid w:val="006B37B3"/>
    <w:rsid w:val="006C1F25"/>
    <w:rsid w:val="006E30DC"/>
    <w:rsid w:val="00727004"/>
    <w:rsid w:val="00753E73"/>
    <w:rsid w:val="007667EC"/>
    <w:rsid w:val="00772DC2"/>
    <w:rsid w:val="00773FCF"/>
    <w:rsid w:val="00813AD1"/>
    <w:rsid w:val="008358F2"/>
    <w:rsid w:val="00870B93"/>
    <w:rsid w:val="00887E2F"/>
    <w:rsid w:val="008C1210"/>
    <w:rsid w:val="008D4EFE"/>
    <w:rsid w:val="00912CB9"/>
    <w:rsid w:val="00915EF9"/>
    <w:rsid w:val="00987135"/>
    <w:rsid w:val="009A0A8D"/>
    <w:rsid w:val="009B235C"/>
    <w:rsid w:val="009C13E3"/>
    <w:rsid w:val="00A172C8"/>
    <w:rsid w:val="00A4348B"/>
    <w:rsid w:val="00A46DA3"/>
    <w:rsid w:val="00A52590"/>
    <w:rsid w:val="00A5400E"/>
    <w:rsid w:val="00A654C9"/>
    <w:rsid w:val="00A82799"/>
    <w:rsid w:val="00A9244D"/>
    <w:rsid w:val="00A97005"/>
    <w:rsid w:val="00B65205"/>
    <w:rsid w:val="00B7443B"/>
    <w:rsid w:val="00BA7E27"/>
    <w:rsid w:val="00BC1E42"/>
    <w:rsid w:val="00BD0249"/>
    <w:rsid w:val="00C34C92"/>
    <w:rsid w:val="00C374E2"/>
    <w:rsid w:val="00C56ACE"/>
    <w:rsid w:val="00C76E2A"/>
    <w:rsid w:val="00C80EB6"/>
    <w:rsid w:val="00C95195"/>
    <w:rsid w:val="00CB3071"/>
    <w:rsid w:val="00CE50C0"/>
    <w:rsid w:val="00D21321"/>
    <w:rsid w:val="00D569C9"/>
    <w:rsid w:val="00DA4893"/>
    <w:rsid w:val="00DF61E6"/>
    <w:rsid w:val="00E0608B"/>
    <w:rsid w:val="00E15967"/>
    <w:rsid w:val="00E66D80"/>
    <w:rsid w:val="00E67295"/>
    <w:rsid w:val="00E80C19"/>
    <w:rsid w:val="00E80F41"/>
    <w:rsid w:val="00EE6BCB"/>
    <w:rsid w:val="00F6204C"/>
    <w:rsid w:val="00F97773"/>
    <w:rsid w:val="00FA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FA07B"/>
  <w15:chartTrackingRefBased/>
  <w15:docId w15:val="{8766C55F-3908-4BF2-9E9B-EF2953BD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6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620"/>
    <w:pPr>
      <w:ind w:left="720"/>
      <w:contextualSpacing/>
    </w:pPr>
  </w:style>
  <w:style w:type="paragraph" w:styleId="a4">
    <w:name w:val="header"/>
    <w:basedOn w:val="a"/>
    <w:link w:val="a5"/>
    <w:uiPriority w:val="99"/>
    <w:rsid w:val="005376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53762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5376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537620"/>
    <w:rPr>
      <w:rFonts w:ascii="Calibri" w:eastAsia="Times New Roman" w:hAnsi="Calibri" w:cs="Times New Roman"/>
      <w:lang w:val="x-none" w:eastAsia="x-none"/>
    </w:rPr>
  </w:style>
  <w:style w:type="paragraph" w:styleId="a8">
    <w:name w:val="Body Text Indent"/>
    <w:basedOn w:val="a"/>
    <w:link w:val="a9"/>
    <w:rsid w:val="00537620"/>
    <w:pPr>
      <w:spacing w:before="120" w:after="0" w:line="240" w:lineRule="auto"/>
      <w:ind w:firstLine="567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53762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a">
    <w:name w:val="Body Text"/>
    <w:basedOn w:val="a"/>
    <w:link w:val="ab"/>
    <w:uiPriority w:val="99"/>
    <w:semiHidden/>
    <w:unhideWhenUsed/>
    <w:rsid w:val="00537620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semiHidden/>
    <w:rsid w:val="00537620"/>
    <w:rPr>
      <w:rFonts w:ascii="Calibri" w:eastAsia="Times New Roman" w:hAnsi="Calibri" w:cs="Times New Roman"/>
      <w:lang w:val="x-none" w:eastAsia="x-none"/>
    </w:rPr>
  </w:style>
  <w:style w:type="paragraph" w:styleId="ac">
    <w:name w:val="Normal (Web)"/>
    <w:basedOn w:val="a"/>
    <w:uiPriority w:val="99"/>
    <w:rsid w:val="00537620"/>
    <w:pPr>
      <w:spacing w:before="100" w:beforeAutospacing="1" w:after="100" w:afterAutospacing="1" w:line="240" w:lineRule="auto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5376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537620"/>
    <w:rPr>
      <w:rFonts w:ascii="Times New Roman" w:hAnsi="Times New Roman"/>
      <w:b/>
      <w:sz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37620"/>
    <w:pPr>
      <w:widowControl w:val="0"/>
      <w:shd w:val="clear" w:color="auto" w:fill="FFFFFF"/>
      <w:spacing w:after="0" w:line="398" w:lineRule="exact"/>
      <w:jc w:val="center"/>
      <w:outlineLvl w:val="0"/>
    </w:pPr>
    <w:rPr>
      <w:rFonts w:ascii="Times New Roman" w:eastAsiaTheme="minorHAnsi" w:hAnsi="Times New Roman" w:cstheme="minorBidi"/>
      <w:b/>
      <w:sz w:val="28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5376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E67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B0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B0C5C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unhideWhenUsed/>
    <w:rsid w:val="00241B31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241B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2019-06-03T13:56:00Z</cp:lastPrinted>
  <dcterms:created xsi:type="dcterms:W3CDTF">2023-06-08T08:26:00Z</dcterms:created>
  <dcterms:modified xsi:type="dcterms:W3CDTF">2023-06-08T08:30:00Z</dcterms:modified>
</cp:coreProperties>
</file>